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FC" w:rsidRPr="00363EE1" w:rsidRDefault="00AE78A6" w:rsidP="00B82959">
      <w:pPr>
        <w:tabs>
          <w:tab w:val="left" w:pos="8734"/>
        </w:tabs>
        <w:spacing w:line="276" w:lineRule="auto"/>
        <w:ind w:left="118"/>
        <w:jc w:val="center"/>
        <w:rPr>
          <w:rFonts w:ascii="Times New Roman"/>
          <w:noProof/>
          <w:lang w:val="es-MX" w:eastAsia="es-MX"/>
        </w:rPr>
      </w:pPr>
      <w:r w:rsidRPr="00B94B58">
        <w:rPr>
          <w:rFonts w:ascii="Times New Roman"/>
          <w:noProof/>
          <w:position w:val="1"/>
          <w:lang w:val="es-MX" w:eastAsia="es-MX"/>
        </w:rPr>
        <w:drawing>
          <wp:anchor distT="0" distB="0" distL="114300" distR="114300" simplePos="0" relativeHeight="251656192" behindDoc="0" locked="0" layoutInCell="1" allowOverlap="1" wp14:anchorId="4F95BE77" wp14:editId="3EB8C75A">
            <wp:simplePos x="0" y="0"/>
            <wp:positionH relativeFrom="column">
              <wp:posOffset>-288925</wp:posOffset>
            </wp:positionH>
            <wp:positionV relativeFrom="page">
              <wp:posOffset>200025</wp:posOffset>
            </wp:positionV>
            <wp:extent cx="773430" cy="1049020"/>
            <wp:effectExtent l="0" t="0" r="7620" b="0"/>
            <wp:wrapNone/>
            <wp:docPr id="1" name="image1.png" descr="https://www.legisver.gob.mx/img/logoLX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30" cy="1049020"/>
                    </a:xfrm>
                    <a:prstGeom prst="rect">
                      <a:avLst/>
                    </a:prstGeom>
                  </pic:spPr>
                </pic:pic>
              </a:graphicData>
            </a:graphic>
          </wp:anchor>
        </w:drawing>
      </w:r>
      <w:r w:rsidR="00B94B58" w:rsidRPr="00B94B58">
        <w:rPr>
          <w:rFonts w:ascii="Arial" w:hAnsi="Arial" w:cs="Arial"/>
          <w:b/>
        </w:rPr>
        <w:t>SÍNTESIS</w:t>
      </w:r>
    </w:p>
    <w:p w:rsidR="007C4845" w:rsidRDefault="003D12D7" w:rsidP="00B82959">
      <w:pPr>
        <w:pStyle w:val="Puesto"/>
        <w:spacing w:after="240" w:line="276" w:lineRule="auto"/>
        <w:ind w:left="567" w:right="842" w:firstLine="567"/>
        <w:jc w:val="center"/>
        <w:rPr>
          <w:sz w:val="22"/>
          <w:szCs w:val="22"/>
        </w:rPr>
      </w:pPr>
      <w:r>
        <w:rPr>
          <w:sz w:val="22"/>
          <w:szCs w:val="22"/>
        </w:rPr>
        <w:t xml:space="preserve">JUICIO PARA LA PROTECCIÓN DE LOS DERECHOS POLÍTICO-ELECTORALES DEL CIUDADANO </w:t>
      </w:r>
      <w:r w:rsidR="00D34A59">
        <w:rPr>
          <w:sz w:val="22"/>
          <w:szCs w:val="22"/>
        </w:rPr>
        <w:t xml:space="preserve">CON NÚMERO DE EXPEDIENTE </w:t>
      </w:r>
      <w:r>
        <w:rPr>
          <w:sz w:val="22"/>
          <w:szCs w:val="22"/>
        </w:rPr>
        <w:t>TEV-JDC-570/2022</w:t>
      </w:r>
    </w:p>
    <w:p w:rsidR="00086D42" w:rsidRDefault="00086D42" w:rsidP="00B82959">
      <w:pPr>
        <w:pStyle w:val="Puesto"/>
        <w:spacing w:after="240" w:line="276" w:lineRule="auto"/>
        <w:ind w:left="567" w:right="842" w:firstLine="567"/>
        <w:jc w:val="center"/>
        <w:rPr>
          <w:sz w:val="22"/>
          <w:szCs w:val="22"/>
        </w:rPr>
      </w:pPr>
      <w:bookmarkStart w:id="0" w:name="_GoBack"/>
      <w:bookmarkEnd w:id="0"/>
    </w:p>
    <w:p w:rsidR="00006D0C" w:rsidRDefault="00700EED" w:rsidP="00B82959">
      <w:pPr>
        <w:pStyle w:val="Puesto"/>
        <w:spacing w:after="240" w:line="276" w:lineRule="auto"/>
        <w:ind w:left="142" w:firstLine="0"/>
        <w:rPr>
          <w:sz w:val="22"/>
          <w:szCs w:val="22"/>
        </w:rPr>
      </w:pPr>
      <w:r w:rsidRPr="00971F1A">
        <w:rPr>
          <w:sz w:val="22"/>
          <w:szCs w:val="22"/>
        </w:rPr>
        <w:t>Antecedentes</w:t>
      </w:r>
      <w:r w:rsidR="00AA6D7C">
        <w:rPr>
          <w:sz w:val="22"/>
          <w:szCs w:val="22"/>
        </w:rPr>
        <w:t>.</w:t>
      </w:r>
    </w:p>
    <w:p w:rsidR="00006D0C" w:rsidRDefault="00006D0C" w:rsidP="00B82959">
      <w:pPr>
        <w:pStyle w:val="Puesto"/>
        <w:spacing w:after="240" w:line="276" w:lineRule="auto"/>
        <w:ind w:left="142" w:right="134" w:firstLine="0"/>
        <w:jc w:val="both"/>
        <w:rPr>
          <w:lang w:val="es-MX"/>
        </w:rPr>
      </w:pPr>
      <w:r>
        <w:rPr>
          <w:b w:val="0"/>
          <w:sz w:val="22"/>
          <w:szCs w:val="22"/>
        </w:rPr>
        <w:t>El 11 de octubre de 2022, una Ciudadana con residencia en el Estado de Veracruz promovió</w:t>
      </w:r>
      <w:r w:rsidRPr="00006D0C">
        <w:rPr>
          <w:b w:val="0"/>
          <w:sz w:val="22"/>
        </w:rPr>
        <w:t xml:space="preserve"> </w:t>
      </w:r>
      <w:r w:rsidRPr="00006D0C">
        <w:rPr>
          <w:b w:val="0"/>
          <w:sz w:val="22"/>
          <w:szCs w:val="22"/>
        </w:rPr>
        <w:t xml:space="preserve">juicio para la protección de los derechos político-electorales del ciudadano ante el Tribunal Electoral de Veracruz (TEV), demandando, dentro de varias peticiones, </w:t>
      </w:r>
      <w:r w:rsidRPr="00006D0C">
        <w:rPr>
          <w:b w:val="0"/>
          <w:sz w:val="22"/>
          <w:szCs w:val="22"/>
          <w:lang w:val="es-MX"/>
        </w:rPr>
        <w:t>la omisión legis</w:t>
      </w:r>
      <w:r>
        <w:rPr>
          <w:b w:val="0"/>
          <w:sz w:val="22"/>
          <w:szCs w:val="22"/>
          <w:lang w:val="es-MX"/>
        </w:rPr>
        <w:t xml:space="preserve">lativa del Congreso de Veracruz </w:t>
      </w:r>
      <w:r w:rsidR="00801677">
        <w:rPr>
          <w:b w:val="0"/>
          <w:sz w:val="22"/>
          <w:szCs w:val="22"/>
          <w:lang w:val="es-MX"/>
        </w:rPr>
        <w:t xml:space="preserve">de prever medidas afirmativas </w:t>
      </w:r>
      <w:r w:rsidR="00F74F5B">
        <w:rPr>
          <w:b w:val="0"/>
          <w:sz w:val="22"/>
          <w:szCs w:val="22"/>
          <w:lang w:val="es-MX"/>
        </w:rPr>
        <w:t xml:space="preserve">en favor de las personas con discapacidad dentro de la legislación electoral local.  </w:t>
      </w:r>
    </w:p>
    <w:p w:rsidR="00715B45" w:rsidRDefault="00B41D20" w:rsidP="00B82959">
      <w:pPr>
        <w:pStyle w:val="Puesto"/>
        <w:spacing w:after="240" w:line="276" w:lineRule="auto"/>
        <w:ind w:left="142" w:right="134" w:firstLine="0"/>
        <w:jc w:val="both"/>
        <w:rPr>
          <w:b w:val="0"/>
          <w:sz w:val="22"/>
          <w:szCs w:val="22"/>
        </w:rPr>
      </w:pPr>
      <w:r w:rsidRPr="00B94B58">
        <w:rPr>
          <w:b w:val="0"/>
          <w:sz w:val="22"/>
          <w:szCs w:val="22"/>
        </w:rPr>
        <w:t>Por razón de turno, se designó a</w:t>
      </w:r>
      <w:r w:rsidR="00006D0C">
        <w:rPr>
          <w:b w:val="0"/>
          <w:sz w:val="22"/>
          <w:szCs w:val="22"/>
        </w:rPr>
        <w:t xml:space="preserve"> la</w:t>
      </w:r>
      <w:r w:rsidRPr="00B94B58">
        <w:rPr>
          <w:b w:val="0"/>
          <w:sz w:val="22"/>
          <w:szCs w:val="22"/>
        </w:rPr>
        <w:t xml:space="preserve"> </w:t>
      </w:r>
      <w:r w:rsidR="00006D0C">
        <w:rPr>
          <w:b w:val="0"/>
          <w:sz w:val="22"/>
          <w:szCs w:val="22"/>
        </w:rPr>
        <w:t xml:space="preserve">Magistrada </w:t>
      </w:r>
      <w:r w:rsidR="00951790">
        <w:rPr>
          <w:b w:val="0"/>
          <w:sz w:val="22"/>
          <w:szCs w:val="22"/>
        </w:rPr>
        <w:t xml:space="preserve">Tania Celina Vásquez Muñoz </w:t>
      </w:r>
      <w:r w:rsidR="002C4A32" w:rsidRPr="00B94B58">
        <w:rPr>
          <w:b w:val="0"/>
          <w:sz w:val="22"/>
          <w:szCs w:val="22"/>
        </w:rPr>
        <w:t>como</w:t>
      </w:r>
      <w:r w:rsidR="00CC3776" w:rsidRPr="00B94B58">
        <w:rPr>
          <w:b w:val="0"/>
          <w:sz w:val="22"/>
          <w:szCs w:val="22"/>
        </w:rPr>
        <w:t xml:space="preserve"> instructor</w:t>
      </w:r>
      <w:r w:rsidR="00951790">
        <w:rPr>
          <w:b w:val="0"/>
          <w:sz w:val="22"/>
          <w:szCs w:val="22"/>
        </w:rPr>
        <w:t>a</w:t>
      </w:r>
      <w:r w:rsidR="00CC3776" w:rsidRPr="00B94B58">
        <w:rPr>
          <w:b w:val="0"/>
          <w:sz w:val="22"/>
          <w:szCs w:val="22"/>
        </w:rPr>
        <w:t xml:space="preserve"> del procedimiento. </w:t>
      </w:r>
    </w:p>
    <w:p w:rsidR="00A518C4" w:rsidRDefault="00A518C4" w:rsidP="00B82959">
      <w:pPr>
        <w:pStyle w:val="Puesto"/>
        <w:spacing w:after="240" w:line="276" w:lineRule="auto"/>
        <w:ind w:left="142" w:right="134" w:firstLine="0"/>
        <w:jc w:val="both"/>
        <w:rPr>
          <w:rFonts w:eastAsia="Calibri"/>
          <w:b w:val="0"/>
          <w:bCs w:val="0"/>
          <w:kern w:val="2"/>
          <w:sz w:val="22"/>
          <w:szCs w:val="22"/>
          <w:lang w:val="es-MX"/>
          <w14:ligatures w14:val="standardContextual"/>
        </w:rPr>
      </w:pPr>
      <w:r w:rsidRPr="00A518C4">
        <w:rPr>
          <w:rFonts w:eastAsia="Calibri"/>
          <w:b w:val="0"/>
          <w:bCs w:val="0"/>
          <w:kern w:val="2"/>
          <w:sz w:val="22"/>
          <w:szCs w:val="22"/>
          <w:lang w:val="es-MX"/>
          <w14:ligatures w14:val="standardContextual"/>
        </w:rPr>
        <w:t xml:space="preserve">El </w:t>
      </w:r>
      <w:r w:rsidRPr="00A518C4">
        <w:rPr>
          <w:rFonts w:eastAsia="Calibri"/>
          <w:kern w:val="2"/>
          <w:sz w:val="22"/>
          <w:szCs w:val="22"/>
          <w:lang w:val="es-MX"/>
          <w14:ligatures w14:val="standardContextual"/>
        </w:rPr>
        <w:t>9 de noviembre del 2022</w:t>
      </w:r>
      <w:r w:rsidRPr="00A518C4">
        <w:rPr>
          <w:rFonts w:eastAsia="Calibri"/>
          <w:b w:val="0"/>
          <w:bCs w:val="0"/>
          <w:kern w:val="2"/>
          <w:sz w:val="22"/>
          <w:szCs w:val="22"/>
          <w:lang w:val="es-MX"/>
          <w14:ligatures w14:val="standardContextual"/>
        </w:rPr>
        <w:t xml:space="preserve">, el </w:t>
      </w:r>
      <w:bookmarkStart w:id="1" w:name="_Hlk166574870"/>
      <w:r w:rsidRPr="00A518C4">
        <w:rPr>
          <w:rFonts w:eastAsia="Calibri"/>
          <w:b w:val="0"/>
          <w:bCs w:val="0"/>
          <w:kern w:val="2"/>
          <w:sz w:val="22"/>
          <w:szCs w:val="22"/>
          <w:lang w:val="es-MX"/>
          <w14:ligatures w14:val="standardContextual"/>
        </w:rPr>
        <w:t xml:space="preserve">TEV </w:t>
      </w:r>
      <w:bookmarkEnd w:id="1"/>
      <w:r w:rsidRPr="00A518C4">
        <w:rPr>
          <w:rFonts w:eastAsia="Calibri"/>
          <w:b w:val="0"/>
          <w:bCs w:val="0"/>
          <w:kern w:val="2"/>
          <w:sz w:val="22"/>
          <w:szCs w:val="22"/>
          <w:lang w:val="es-MX"/>
          <w14:ligatures w14:val="standardContextual"/>
        </w:rPr>
        <w:t xml:space="preserve">dictó sentencia respecto a dicho juicio para la protección de los derechos político-electorales del ciudadano </w:t>
      </w:r>
      <w:r w:rsidRPr="00A518C4">
        <w:rPr>
          <w:rFonts w:eastAsia="Calibri"/>
          <w:kern w:val="2"/>
          <w:sz w:val="22"/>
          <w:szCs w:val="22"/>
          <w:lang w:val="es-MX"/>
          <w14:ligatures w14:val="standardContextual"/>
        </w:rPr>
        <w:t>(TEV-JDC-570/2022),</w:t>
      </w:r>
      <w:r w:rsidRPr="00A518C4">
        <w:rPr>
          <w:rFonts w:eastAsia="Calibri"/>
          <w:b w:val="0"/>
          <w:bCs w:val="0"/>
          <w:kern w:val="2"/>
          <w:sz w:val="22"/>
          <w:szCs w:val="22"/>
          <w:lang w:val="es-MX"/>
          <w14:ligatures w14:val="standardContextual"/>
        </w:rPr>
        <w:t xml:space="preserve"> en el sentido de declarar infundados los agravios planteados por la parte actora, quien, inconforme con dicha determinación, y buscando que se legislara a favor de los derechos político-electorales de las personas con discapacidad, recurrió ante la Sala Superior del Tribunal Electoral del Poder Judicial de la Federación (TEPJF).</w:t>
      </w:r>
    </w:p>
    <w:p w:rsidR="00A518C4" w:rsidRPr="00A518C4" w:rsidRDefault="00A518C4" w:rsidP="00B82959">
      <w:pPr>
        <w:pStyle w:val="Puesto"/>
        <w:spacing w:after="240" w:line="276" w:lineRule="auto"/>
        <w:ind w:left="142" w:right="134" w:firstLine="0"/>
        <w:jc w:val="both"/>
        <w:rPr>
          <w:rFonts w:eastAsia="Calibri"/>
          <w:b w:val="0"/>
          <w:bCs w:val="0"/>
          <w:kern w:val="2"/>
          <w:sz w:val="22"/>
          <w:szCs w:val="22"/>
          <w:lang w:val="es-MX"/>
          <w14:ligatures w14:val="standardContextual"/>
        </w:rPr>
      </w:pPr>
      <w:r>
        <w:rPr>
          <w:rFonts w:eastAsia="Calibri"/>
          <w:b w:val="0"/>
          <w:bCs w:val="0"/>
          <w:kern w:val="2"/>
          <w:sz w:val="22"/>
          <w:szCs w:val="22"/>
          <w:lang w:val="es-MX"/>
          <w14:ligatures w14:val="standardContextual"/>
        </w:rPr>
        <w:t>E</w:t>
      </w:r>
      <w:r w:rsidRPr="00A518C4">
        <w:rPr>
          <w:rFonts w:eastAsia="Calibri"/>
          <w:b w:val="0"/>
          <w:bCs w:val="0"/>
          <w:kern w:val="2"/>
          <w:sz w:val="22"/>
          <w:szCs w:val="22"/>
          <w:lang w:val="es-MX"/>
          <w14:ligatures w14:val="standardContextual"/>
        </w:rPr>
        <w:t xml:space="preserve">l </w:t>
      </w:r>
      <w:r w:rsidRPr="00A518C4">
        <w:rPr>
          <w:rFonts w:eastAsia="Calibri"/>
          <w:kern w:val="2"/>
          <w:sz w:val="22"/>
          <w:szCs w:val="22"/>
          <w:lang w:val="es-MX"/>
          <w14:ligatures w14:val="standardContextual"/>
        </w:rPr>
        <w:t>21 de diciembre del 2022</w:t>
      </w:r>
      <w:r w:rsidRPr="00A518C4">
        <w:rPr>
          <w:rFonts w:eastAsia="Calibri"/>
          <w:b w:val="0"/>
          <w:bCs w:val="0"/>
          <w:kern w:val="2"/>
          <w:sz w:val="22"/>
          <w:szCs w:val="22"/>
          <w:lang w:val="es-MX"/>
          <w14:ligatures w14:val="standardContextual"/>
        </w:rPr>
        <w:t xml:space="preserve">, la Sala Superior del TEPJF dictó sentencia en el expediente </w:t>
      </w:r>
      <w:r w:rsidRPr="00A518C4">
        <w:rPr>
          <w:rFonts w:eastAsia="Calibri"/>
          <w:kern w:val="2"/>
          <w:sz w:val="22"/>
          <w:szCs w:val="22"/>
          <w:lang w:val="es-MX"/>
          <w14:ligatures w14:val="standardContextual"/>
        </w:rPr>
        <w:t>SUP-JDC-1413/2022,</w:t>
      </w:r>
      <w:r w:rsidRPr="00A518C4">
        <w:rPr>
          <w:rFonts w:eastAsia="Calibri"/>
          <w:b w:val="0"/>
          <w:bCs w:val="0"/>
          <w:kern w:val="2"/>
          <w:sz w:val="22"/>
          <w:szCs w:val="22"/>
          <w:lang w:val="es-MX"/>
          <w14:ligatures w14:val="standardContextual"/>
        </w:rPr>
        <w:t xml:space="preserve"> en el sentido de revocar la sentencia mencionada en el numeral anterior, ordenando al TEV dictar nueva sentencia, debiendo depurar las fallas formales que determinaron su decisión.</w:t>
      </w:r>
    </w:p>
    <w:p w:rsidR="00A518C4" w:rsidRDefault="00CC3776" w:rsidP="00B82959">
      <w:pPr>
        <w:pStyle w:val="Puesto"/>
        <w:spacing w:after="240" w:line="276" w:lineRule="auto"/>
        <w:ind w:left="142" w:right="134" w:firstLine="0"/>
        <w:jc w:val="both"/>
        <w:rPr>
          <w:sz w:val="22"/>
          <w:szCs w:val="22"/>
        </w:rPr>
      </w:pPr>
      <w:r w:rsidRPr="00971F1A">
        <w:rPr>
          <w:sz w:val="22"/>
          <w:szCs w:val="22"/>
        </w:rPr>
        <w:t>Resolución</w:t>
      </w:r>
      <w:r w:rsidR="00AA6D7C">
        <w:rPr>
          <w:sz w:val="22"/>
          <w:szCs w:val="22"/>
        </w:rPr>
        <w:t>.</w:t>
      </w:r>
    </w:p>
    <w:p w:rsidR="00A518C4" w:rsidRDefault="002C4A32" w:rsidP="00B82959">
      <w:pPr>
        <w:pStyle w:val="Puesto"/>
        <w:spacing w:after="240" w:line="276" w:lineRule="auto"/>
        <w:ind w:left="142" w:right="134" w:firstLine="0"/>
        <w:jc w:val="both"/>
        <w:rPr>
          <w:sz w:val="22"/>
          <w:szCs w:val="22"/>
          <w:lang w:val="es-MX"/>
        </w:rPr>
      </w:pPr>
      <w:r w:rsidRPr="00A518C4">
        <w:rPr>
          <w:b w:val="0"/>
          <w:sz w:val="22"/>
          <w:szCs w:val="22"/>
        </w:rPr>
        <w:t xml:space="preserve">El día </w:t>
      </w:r>
      <w:r w:rsidRPr="00A518C4">
        <w:rPr>
          <w:sz w:val="22"/>
          <w:szCs w:val="22"/>
        </w:rPr>
        <w:t xml:space="preserve">11 de </w:t>
      </w:r>
      <w:r w:rsidR="00801677" w:rsidRPr="00A518C4">
        <w:rPr>
          <w:sz w:val="22"/>
          <w:szCs w:val="22"/>
        </w:rPr>
        <w:t>enero de 2023</w:t>
      </w:r>
      <w:r w:rsidR="00801677" w:rsidRPr="00A518C4">
        <w:rPr>
          <w:b w:val="0"/>
          <w:sz w:val="22"/>
          <w:szCs w:val="22"/>
        </w:rPr>
        <w:t xml:space="preserve">, el </w:t>
      </w:r>
      <w:r w:rsidRPr="00A518C4">
        <w:rPr>
          <w:b w:val="0"/>
          <w:sz w:val="22"/>
          <w:szCs w:val="22"/>
        </w:rPr>
        <w:t>Pleno de</w:t>
      </w:r>
      <w:r w:rsidR="00801677" w:rsidRPr="00A518C4">
        <w:rPr>
          <w:b w:val="0"/>
          <w:sz w:val="22"/>
          <w:szCs w:val="22"/>
        </w:rPr>
        <w:t>l Tribunal Electoral, dictó sentencia,</w:t>
      </w:r>
      <w:r w:rsidR="00A518C4" w:rsidRPr="00A518C4">
        <w:rPr>
          <w:b w:val="0"/>
          <w:sz w:val="22"/>
          <w:szCs w:val="22"/>
        </w:rPr>
        <w:t xml:space="preserve"> en cumplimiento a lo ordenado por la sala superior del Tribunal Electoral del Poder Judicial de la Federación, </w:t>
      </w:r>
      <w:r w:rsidR="00801677" w:rsidRPr="00A518C4">
        <w:rPr>
          <w:b w:val="0"/>
          <w:sz w:val="22"/>
          <w:szCs w:val="22"/>
        </w:rPr>
        <w:t xml:space="preserve">mediante la cual declaró la existencia de la omisión legislativa </w:t>
      </w:r>
      <w:r w:rsidR="00A518C4" w:rsidRPr="00A518C4">
        <w:rPr>
          <w:b w:val="0"/>
          <w:sz w:val="22"/>
          <w:szCs w:val="22"/>
        </w:rPr>
        <w:t>del</w:t>
      </w:r>
      <w:r w:rsidR="00801677" w:rsidRPr="00A518C4">
        <w:rPr>
          <w:b w:val="0"/>
          <w:sz w:val="22"/>
          <w:szCs w:val="22"/>
        </w:rPr>
        <w:t xml:space="preserve"> Congreso del Est</w:t>
      </w:r>
      <w:r w:rsidR="00A518C4" w:rsidRPr="00A518C4">
        <w:rPr>
          <w:b w:val="0"/>
          <w:sz w:val="22"/>
          <w:szCs w:val="22"/>
        </w:rPr>
        <w:t xml:space="preserve">ado de Veracruz, para implementar </w:t>
      </w:r>
      <w:r w:rsidR="00A518C4" w:rsidRPr="00A518C4">
        <w:rPr>
          <w:b w:val="0"/>
          <w:sz w:val="22"/>
          <w:szCs w:val="22"/>
          <w:lang w:val="es-MX"/>
        </w:rPr>
        <w:t>acciones afirmativas en favor de los derechos político - electorales de las personas con discapacidad, el TEV dictó sentencia dándole la razón a la parte actora, señalando para tales efectos lo conducente en los siguientes párrafos</w:t>
      </w:r>
      <w:r w:rsidR="00A518C4" w:rsidRPr="00A518C4">
        <w:rPr>
          <w:sz w:val="22"/>
          <w:szCs w:val="22"/>
          <w:lang w:val="es-MX"/>
        </w:rPr>
        <w:t>:</w:t>
      </w: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r w:rsidRPr="00417DB3">
        <w:rPr>
          <w:rFonts w:ascii="Arial" w:eastAsia="Times New Roman" w:hAnsi="Arial" w:cs="Arial"/>
          <w:bCs/>
          <w:i/>
          <w:szCs w:val="24"/>
          <w:lang w:val="es" w:eastAsia="es-ES"/>
        </w:rPr>
        <w:t>“</w:t>
      </w:r>
      <w:r w:rsidRPr="00417DB3">
        <w:rPr>
          <w:rFonts w:ascii="Arial" w:eastAsia="Times New Roman" w:hAnsi="Arial" w:cs="Arial"/>
          <w:b/>
          <w:bCs/>
          <w:i/>
          <w:szCs w:val="24"/>
          <w:lang w:val="es" w:eastAsia="es-ES"/>
        </w:rPr>
        <w:t xml:space="preserve">125.  </w:t>
      </w:r>
      <w:r w:rsidRPr="00417DB3">
        <w:rPr>
          <w:rFonts w:ascii="Arial" w:eastAsia="Times New Roman" w:hAnsi="Arial" w:cs="Arial"/>
          <w:i/>
          <w:szCs w:val="24"/>
          <w:lang w:val="es" w:eastAsia="es-ES"/>
        </w:rPr>
        <w:t xml:space="preserve">Por tanto, al haber resultado fundado el agravio identificado con el inciso a) de la síntesis de agravios, en el que la actora demanda la omisión legislativa atribuida al Congreso del Estado, para implementar acciones afirmativas en favor de las personas con discapacidad, </w:t>
      </w:r>
      <w:r w:rsidRPr="00417DB3">
        <w:rPr>
          <w:rFonts w:ascii="Arial" w:eastAsia="Times New Roman" w:hAnsi="Arial" w:cs="Arial"/>
          <w:b/>
          <w:bCs/>
          <w:i/>
          <w:szCs w:val="24"/>
          <w:lang w:val="es" w:eastAsia="es-ES"/>
        </w:rPr>
        <w:t xml:space="preserve">es procedente vincular al Congreso del Estado de Veracruz </w:t>
      </w:r>
      <w:r w:rsidRPr="00417DB3">
        <w:rPr>
          <w:rFonts w:ascii="Arial" w:eastAsia="Times New Roman" w:hAnsi="Arial" w:cs="Arial"/>
          <w:i/>
          <w:szCs w:val="24"/>
          <w:lang w:val="es" w:eastAsia="es-ES"/>
        </w:rPr>
        <w:t xml:space="preserve">para el efecto de que, </w:t>
      </w:r>
      <w:r w:rsidRPr="00417DB3">
        <w:rPr>
          <w:rFonts w:ascii="Arial" w:eastAsia="Times New Roman" w:hAnsi="Arial" w:cs="Arial"/>
          <w:b/>
          <w:bCs/>
          <w:i/>
          <w:szCs w:val="24"/>
          <w:lang w:val="es" w:eastAsia="es-ES"/>
        </w:rPr>
        <w:t xml:space="preserve">en ejercicio de su soberanía </w:t>
      </w:r>
      <w:r w:rsidRPr="00417DB3">
        <w:rPr>
          <w:rFonts w:ascii="Arial" w:eastAsia="Times New Roman" w:hAnsi="Arial" w:cs="Arial"/>
          <w:i/>
          <w:szCs w:val="24"/>
          <w:lang w:val="es" w:eastAsia="es-ES"/>
        </w:rPr>
        <w:t xml:space="preserve">y </w:t>
      </w:r>
      <w:r w:rsidRPr="00417DB3">
        <w:rPr>
          <w:rFonts w:ascii="Arial" w:eastAsia="Times New Roman" w:hAnsi="Arial" w:cs="Arial"/>
          <w:b/>
          <w:bCs/>
          <w:i/>
          <w:szCs w:val="24"/>
          <w:lang w:val="es" w:eastAsia="es-ES"/>
        </w:rPr>
        <w:t xml:space="preserve">atribuciones, implemente las medidas </w:t>
      </w:r>
      <w:r w:rsidRPr="00417DB3">
        <w:rPr>
          <w:rFonts w:ascii="Arial" w:eastAsia="Times New Roman" w:hAnsi="Arial" w:cs="Arial"/>
          <w:b/>
          <w:bCs/>
          <w:i/>
          <w:szCs w:val="24"/>
          <w:lang w:val="es" w:eastAsia="es-ES"/>
        </w:rPr>
        <w:lastRenderedPageBreak/>
        <w:t xml:space="preserve">legislativas que estime necesarias para garantizar los derechos político </w:t>
      </w:r>
      <w:r w:rsidRPr="00417DB3">
        <w:rPr>
          <w:rFonts w:ascii="Arial" w:eastAsia="Times New Roman" w:hAnsi="Arial" w:cs="Arial"/>
          <w:i/>
          <w:szCs w:val="24"/>
          <w:lang w:val="es" w:eastAsia="es-ES"/>
        </w:rPr>
        <w:t xml:space="preserve">- </w:t>
      </w:r>
      <w:r w:rsidRPr="00417DB3">
        <w:rPr>
          <w:rFonts w:ascii="Arial" w:eastAsia="Times New Roman" w:hAnsi="Arial" w:cs="Arial"/>
          <w:b/>
          <w:bCs/>
          <w:i/>
          <w:szCs w:val="24"/>
          <w:lang w:val="es" w:eastAsia="es-ES"/>
        </w:rPr>
        <w:t xml:space="preserve">electorales de las personas con discapacidad </w:t>
      </w:r>
      <w:r w:rsidRPr="00417DB3">
        <w:rPr>
          <w:rFonts w:ascii="Arial" w:eastAsia="Times New Roman" w:hAnsi="Arial" w:cs="Arial"/>
          <w:i/>
          <w:szCs w:val="24"/>
          <w:lang w:val="es" w:eastAsia="es-ES"/>
        </w:rPr>
        <w:t>y eliminar las barreras sociales y realizar los ajustes razonables al entorno de las personas con discapacidad para que puedan ejercer tales derechos en condiciones de igualdad con el resto de las personas, conforme al modelo social y a sus obligaciones internacionales subyacentes a los instrumentos internacionales señalados en la presente sentencia.</w:t>
      </w: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r w:rsidRPr="00417DB3">
        <w:rPr>
          <w:rFonts w:ascii="Arial" w:eastAsia="Times New Roman" w:hAnsi="Arial" w:cs="Arial"/>
          <w:b/>
          <w:bCs/>
          <w:i/>
          <w:szCs w:val="24"/>
          <w:lang w:val="es" w:eastAsia="es-ES"/>
        </w:rPr>
        <w:t xml:space="preserve">126. </w:t>
      </w:r>
      <w:r w:rsidRPr="00417DB3">
        <w:rPr>
          <w:rFonts w:ascii="Arial" w:eastAsia="Times New Roman" w:hAnsi="Arial" w:cs="Arial"/>
          <w:i/>
          <w:szCs w:val="24"/>
          <w:lang w:val="es" w:eastAsia="es-ES"/>
        </w:rPr>
        <w:t xml:space="preserve">Así, en  </w:t>
      </w:r>
      <w:r w:rsidRPr="00417DB3">
        <w:rPr>
          <w:rFonts w:ascii="Arial" w:eastAsia="Times New Roman" w:hAnsi="Arial" w:cs="Arial"/>
          <w:b/>
          <w:bCs/>
          <w:i/>
          <w:szCs w:val="24"/>
          <w:lang w:val="es" w:eastAsia="es-ES"/>
        </w:rPr>
        <w:t xml:space="preserve">ejercicio de  su  soberanía, </w:t>
      </w:r>
      <w:r w:rsidRPr="00417DB3">
        <w:rPr>
          <w:rFonts w:ascii="Arial" w:eastAsia="Times New Roman" w:hAnsi="Arial" w:cs="Arial"/>
          <w:i/>
          <w:szCs w:val="24"/>
          <w:lang w:val="es" w:eastAsia="es-ES"/>
        </w:rPr>
        <w:t>el Congreso  del  Estado, previo a la realización de un análisis de pertinencia, en el que se tomen en  cuenta  los elementos objetivos necesarios (estadísticos, demográficos, económicos y sociales), deberá  diseñar e implementar los mecanismos necesarios para garantizar la realización de los derechos políticos de las personas con  discapacidad  a  votar  y ser votados,  procurando en todo caso su idoneidad y proporcionalidad; debiendo en todo caso garantizar  el derecho a la consulta  previa de las personas con discapacidad, con la finalidad de tomar su opinión, y de esa manera se atienda su perspectiva y propuestas sobre la forma en que eventualmente, se habrá  de regular su participación electoral.</w:t>
      </w: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r w:rsidRPr="00417DB3">
        <w:rPr>
          <w:rFonts w:ascii="Arial" w:eastAsia="Times New Roman" w:hAnsi="Arial" w:cs="Arial"/>
          <w:b/>
          <w:bCs/>
          <w:i/>
          <w:szCs w:val="24"/>
          <w:lang w:val="es" w:eastAsia="es-ES"/>
        </w:rPr>
        <w:t xml:space="preserve">127. </w:t>
      </w:r>
      <w:r w:rsidRPr="00417DB3">
        <w:rPr>
          <w:rFonts w:ascii="Arial" w:eastAsia="Times New Roman" w:hAnsi="Arial" w:cs="Arial"/>
          <w:i/>
          <w:szCs w:val="24"/>
          <w:lang w:val="es" w:eastAsia="es-ES"/>
        </w:rPr>
        <w:t>Por tanto, no es posible ordenar al Congreso del Estado a proceder de una manera específica, como los solicita la actora, pues en ejercicio de su soberanía y atribuciones, tiene la facultad de determinar la forma en que dará cumplimiento a las obligaciones subyacentes a los instrumentos internacionales de la materia.</w:t>
      </w: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p>
    <w:p w:rsidR="00A518C4" w:rsidRPr="00417DB3" w:rsidRDefault="00A518C4" w:rsidP="00B82959">
      <w:pPr>
        <w:widowControl/>
        <w:autoSpaceDE/>
        <w:autoSpaceDN/>
        <w:spacing w:line="276" w:lineRule="auto"/>
        <w:ind w:left="720" w:right="842"/>
        <w:contextualSpacing/>
        <w:jc w:val="both"/>
        <w:rPr>
          <w:rFonts w:ascii="Arial" w:eastAsia="Times New Roman" w:hAnsi="Arial" w:cs="Arial"/>
          <w:i/>
          <w:szCs w:val="24"/>
          <w:lang w:val="es" w:eastAsia="es-ES"/>
        </w:rPr>
      </w:pPr>
      <w:r w:rsidRPr="00417DB3">
        <w:rPr>
          <w:rFonts w:ascii="Arial" w:eastAsia="Times New Roman" w:hAnsi="Arial" w:cs="Arial"/>
          <w:b/>
          <w:bCs/>
          <w:i/>
          <w:szCs w:val="24"/>
          <w:lang w:val="es" w:eastAsia="es-ES"/>
        </w:rPr>
        <w:t xml:space="preserve">128. </w:t>
      </w:r>
      <w:r w:rsidRPr="00417DB3">
        <w:rPr>
          <w:rFonts w:ascii="Arial" w:eastAsia="Times New Roman" w:hAnsi="Arial" w:cs="Arial"/>
          <w:i/>
          <w:szCs w:val="24"/>
          <w:lang w:val="es" w:eastAsia="es-ES"/>
        </w:rPr>
        <w:t>Así, el Poder Legislativo Local, cuenta con amplia libertad para establecer las medidas para garantizar los derechos político</w:t>
      </w:r>
      <w:r w:rsidRPr="00417DB3">
        <w:rPr>
          <w:rFonts w:ascii="Arial" w:eastAsia="Times New Roman" w:hAnsi="Arial" w:cs="Arial"/>
          <w:i/>
          <w:szCs w:val="24"/>
          <w:lang w:val="es" w:eastAsia="es-ES"/>
        </w:rPr>
        <w:softHyphen/>
        <w:t xml:space="preserve"> electorales de las personas con discapacidad, sin que exista la obligación de establec</w:t>
      </w:r>
      <w:r w:rsidR="00AA6D7C" w:rsidRPr="00417DB3">
        <w:rPr>
          <w:rFonts w:ascii="Arial" w:eastAsia="Times New Roman" w:hAnsi="Arial" w:cs="Arial"/>
          <w:i/>
          <w:szCs w:val="24"/>
          <w:lang w:val="es" w:eastAsia="es-ES"/>
        </w:rPr>
        <w:t>erlas de una manera particular.”</w:t>
      </w:r>
    </w:p>
    <w:p w:rsidR="00B82959" w:rsidRPr="00B82959" w:rsidRDefault="00B82959" w:rsidP="00B82959">
      <w:pPr>
        <w:widowControl/>
        <w:autoSpaceDE/>
        <w:autoSpaceDN/>
        <w:spacing w:line="276" w:lineRule="auto"/>
        <w:ind w:left="720" w:right="288"/>
        <w:contextualSpacing/>
        <w:jc w:val="both"/>
        <w:rPr>
          <w:rFonts w:ascii="Calibri" w:eastAsia="Times New Roman" w:hAnsi="Calibri" w:cs="Calibri"/>
          <w:szCs w:val="24"/>
          <w:lang w:val="es" w:eastAsia="es-ES"/>
        </w:rPr>
      </w:pPr>
    </w:p>
    <w:p w:rsidR="006141F0" w:rsidRPr="00971F1A" w:rsidRDefault="006141F0" w:rsidP="00B82959">
      <w:pPr>
        <w:pStyle w:val="Puesto"/>
        <w:spacing w:after="240" w:line="276" w:lineRule="auto"/>
        <w:ind w:left="142" w:right="134" w:firstLine="0"/>
        <w:jc w:val="both"/>
        <w:rPr>
          <w:sz w:val="22"/>
          <w:szCs w:val="22"/>
        </w:rPr>
      </w:pPr>
      <w:r w:rsidRPr="00971F1A">
        <w:rPr>
          <w:sz w:val="22"/>
          <w:szCs w:val="22"/>
        </w:rPr>
        <w:t>Puntos Resolutivos</w:t>
      </w:r>
      <w:r w:rsidR="00AA6D7C">
        <w:rPr>
          <w:sz w:val="22"/>
          <w:szCs w:val="22"/>
        </w:rPr>
        <w:t>.</w:t>
      </w:r>
    </w:p>
    <w:p w:rsidR="00AE78A6" w:rsidRPr="00417DB3" w:rsidRDefault="00B82959" w:rsidP="00B82959">
      <w:pPr>
        <w:spacing w:after="240" w:line="276" w:lineRule="auto"/>
        <w:ind w:left="709" w:right="842"/>
        <w:jc w:val="both"/>
        <w:rPr>
          <w:rFonts w:ascii="Arial" w:hAnsi="Arial" w:cs="Arial"/>
          <w:i/>
        </w:rPr>
      </w:pPr>
      <w:r w:rsidRPr="00417DB3">
        <w:rPr>
          <w:rFonts w:ascii="Arial" w:hAnsi="Arial" w:cs="Arial"/>
          <w:i/>
        </w:rPr>
        <w:t>“</w:t>
      </w:r>
      <w:r w:rsidR="00AE78A6" w:rsidRPr="00417DB3">
        <w:rPr>
          <w:rFonts w:ascii="Arial" w:hAnsi="Arial" w:cs="Arial"/>
          <w:b/>
          <w:i/>
        </w:rPr>
        <w:t xml:space="preserve">PRIMERO. </w:t>
      </w:r>
      <w:r w:rsidRPr="00417DB3">
        <w:rPr>
          <w:rFonts w:ascii="Arial" w:hAnsi="Arial" w:cs="Arial"/>
          <w:i/>
        </w:rPr>
        <w:t>Se da cumplimiento a la sentencia SUP-</w:t>
      </w:r>
      <w:r w:rsidRPr="00417DB3">
        <w:rPr>
          <w:rFonts w:ascii="Arial" w:hAnsi="Arial" w:cs="Arial"/>
          <w:b/>
          <w:i/>
        </w:rPr>
        <w:t xml:space="preserve">JDC-1413/2022, </w:t>
      </w:r>
      <w:r w:rsidRPr="00417DB3">
        <w:rPr>
          <w:rFonts w:ascii="Arial" w:hAnsi="Arial" w:cs="Arial"/>
          <w:i/>
        </w:rPr>
        <w:t xml:space="preserve">de la Sala Superior del Tribunal Electoral del Poder Judicial de la Federación. </w:t>
      </w:r>
    </w:p>
    <w:p w:rsidR="00AE78A6" w:rsidRPr="00417DB3" w:rsidRDefault="00AE78A6" w:rsidP="00B82959">
      <w:pPr>
        <w:spacing w:after="240" w:line="276" w:lineRule="auto"/>
        <w:ind w:left="709" w:right="842"/>
        <w:jc w:val="both"/>
        <w:rPr>
          <w:rFonts w:ascii="Arial" w:hAnsi="Arial" w:cs="Arial"/>
          <w:b/>
          <w:i/>
        </w:rPr>
      </w:pPr>
      <w:r w:rsidRPr="00417DB3">
        <w:rPr>
          <w:rFonts w:ascii="Arial" w:hAnsi="Arial" w:cs="Arial"/>
          <w:b/>
          <w:i/>
        </w:rPr>
        <w:t xml:space="preserve">SEGUNDO. </w:t>
      </w:r>
      <w:r w:rsidR="00B82959" w:rsidRPr="00417DB3">
        <w:rPr>
          <w:rFonts w:ascii="Arial" w:hAnsi="Arial" w:cs="Arial"/>
          <w:i/>
        </w:rPr>
        <w:t xml:space="preserve">Se declara la </w:t>
      </w:r>
      <w:r w:rsidR="00B82959" w:rsidRPr="00417DB3">
        <w:rPr>
          <w:rFonts w:ascii="Arial" w:hAnsi="Arial" w:cs="Arial"/>
          <w:b/>
          <w:i/>
        </w:rPr>
        <w:t xml:space="preserve">existencia de la omisión legislativa denunciada. </w:t>
      </w:r>
    </w:p>
    <w:p w:rsidR="00AE78A6" w:rsidRPr="00417DB3" w:rsidRDefault="00AE78A6" w:rsidP="00B82959">
      <w:pPr>
        <w:spacing w:after="240" w:line="276" w:lineRule="auto"/>
        <w:ind w:left="709" w:right="842"/>
        <w:jc w:val="both"/>
        <w:rPr>
          <w:rFonts w:ascii="Arial" w:hAnsi="Arial" w:cs="Arial"/>
          <w:i/>
        </w:rPr>
      </w:pPr>
      <w:r w:rsidRPr="00417DB3">
        <w:rPr>
          <w:rFonts w:ascii="Arial" w:hAnsi="Arial" w:cs="Arial"/>
          <w:b/>
          <w:i/>
        </w:rPr>
        <w:t xml:space="preserve">TERCERO. </w:t>
      </w:r>
      <w:r w:rsidR="00B82959" w:rsidRPr="00417DB3">
        <w:rPr>
          <w:rFonts w:ascii="Arial" w:hAnsi="Arial" w:cs="Arial"/>
          <w:b/>
          <w:i/>
        </w:rPr>
        <w:t xml:space="preserve">Se vincula al Congreso del Estado de Veracruz </w:t>
      </w:r>
      <w:r w:rsidR="00B82959" w:rsidRPr="00417DB3">
        <w:rPr>
          <w:rFonts w:ascii="Arial" w:hAnsi="Arial" w:cs="Arial"/>
          <w:i/>
        </w:rPr>
        <w:t xml:space="preserve">en los términos de la presente sentencia. </w:t>
      </w:r>
    </w:p>
    <w:p w:rsidR="00CC3776" w:rsidRPr="00417DB3" w:rsidRDefault="00AE78A6" w:rsidP="00B82959">
      <w:pPr>
        <w:spacing w:after="240" w:line="276" w:lineRule="auto"/>
        <w:ind w:left="709" w:right="842"/>
        <w:jc w:val="both"/>
        <w:rPr>
          <w:rFonts w:ascii="Arial" w:hAnsi="Arial" w:cs="Arial"/>
          <w:b/>
          <w:i/>
        </w:rPr>
      </w:pPr>
      <w:r w:rsidRPr="00417DB3">
        <w:rPr>
          <w:rFonts w:ascii="Arial" w:hAnsi="Arial" w:cs="Arial"/>
          <w:b/>
          <w:i/>
        </w:rPr>
        <w:t xml:space="preserve">CUARTO. </w:t>
      </w:r>
      <w:r w:rsidR="00B82959" w:rsidRPr="00417DB3">
        <w:rPr>
          <w:rFonts w:ascii="Arial" w:hAnsi="Arial" w:cs="Arial"/>
          <w:i/>
        </w:rPr>
        <w:t>Como medida de nivelación, se ordena entregar a la actora, versión audible de los apartados relativos al caso en concreto y puntos resolutivos de la sentencia.”</w:t>
      </w:r>
    </w:p>
    <w:sectPr w:rsidR="00CC3776" w:rsidRPr="00417DB3" w:rsidSect="00086D42">
      <w:footerReference w:type="default" r:id="rId8"/>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5A" w:rsidRDefault="0057765A" w:rsidP="009A450F">
      <w:r>
        <w:separator/>
      </w:r>
    </w:p>
  </w:endnote>
  <w:endnote w:type="continuationSeparator" w:id="0">
    <w:p w:rsidR="0057765A" w:rsidRDefault="0057765A" w:rsidP="009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19811"/>
      <w:docPartObj>
        <w:docPartGallery w:val="Page Numbers (Bottom of Page)"/>
        <w:docPartUnique/>
      </w:docPartObj>
    </w:sdtPr>
    <w:sdtEndPr/>
    <w:sdtContent>
      <w:sdt>
        <w:sdtPr>
          <w:id w:val="-1769616900"/>
          <w:docPartObj>
            <w:docPartGallery w:val="Page Numbers (Top of Page)"/>
            <w:docPartUnique/>
          </w:docPartObj>
        </w:sdtPr>
        <w:sdtEndPr/>
        <w:sdtContent>
          <w:p w:rsidR="009A450F" w:rsidRDefault="009A450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34A5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4A59">
              <w:rPr>
                <w:b/>
                <w:bCs/>
                <w:noProof/>
              </w:rPr>
              <w:t>2</w:t>
            </w:r>
            <w:r>
              <w:rPr>
                <w:b/>
                <w:bCs/>
                <w:sz w:val="24"/>
                <w:szCs w:val="24"/>
              </w:rPr>
              <w:fldChar w:fldCharType="end"/>
            </w:r>
          </w:p>
        </w:sdtContent>
      </w:sdt>
    </w:sdtContent>
  </w:sdt>
  <w:p w:rsidR="009A450F" w:rsidRDefault="009A45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5A" w:rsidRDefault="0057765A" w:rsidP="009A450F">
      <w:r>
        <w:separator/>
      </w:r>
    </w:p>
  </w:footnote>
  <w:footnote w:type="continuationSeparator" w:id="0">
    <w:p w:rsidR="0057765A" w:rsidRDefault="0057765A" w:rsidP="009A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53750114"/>
    <w:multiLevelType w:val="hybridMultilevel"/>
    <w:tmpl w:val="17DCB86A"/>
    <w:lvl w:ilvl="0" w:tplc="3AFA1CB0">
      <w:start w:val="1"/>
      <w:numFmt w:val="upperLetter"/>
      <w:lvlText w:val="%1)"/>
      <w:lvlJc w:val="left"/>
      <w:pPr>
        <w:ind w:left="782" w:hanging="374"/>
      </w:pPr>
      <w:rPr>
        <w:rFonts w:ascii="Arial MT" w:eastAsia="Arial MT" w:hAnsi="Arial MT" w:cs="Arial MT" w:hint="default"/>
        <w:w w:val="100"/>
        <w:sz w:val="24"/>
        <w:szCs w:val="24"/>
        <w:lang w:val="es-ES" w:eastAsia="en-US" w:bidi="ar-SA"/>
      </w:rPr>
    </w:lvl>
    <w:lvl w:ilvl="1" w:tplc="DA569B8A">
      <w:numFmt w:val="bullet"/>
      <w:lvlText w:val="•"/>
      <w:lvlJc w:val="left"/>
      <w:pPr>
        <w:ind w:left="1736" w:hanging="374"/>
      </w:pPr>
      <w:rPr>
        <w:rFonts w:hint="default"/>
        <w:lang w:val="es-ES" w:eastAsia="en-US" w:bidi="ar-SA"/>
      </w:rPr>
    </w:lvl>
    <w:lvl w:ilvl="2" w:tplc="A37E91B4">
      <w:numFmt w:val="bullet"/>
      <w:lvlText w:val="•"/>
      <w:lvlJc w:val="left"/>
      <w:pPr>
        <w:ind w:left="2692" w:hanging="374"/>
      </w:pPr>
      <w:rPr>
        <w:rFonts w:hint="default"/>
        <w:lang w:val="es-ES" w:eastAsia="en-US" w:bidi="ar-SA"/>
      </w:rPr>
    </w:lvl>
    <w:lvl w:ilvl="3" w:tplc="3EE675A4">
      <w:numFmt w:val="bullet"/>
      <w:lvlText w:val="•"/>
      <w:lvlJc w:val="left"/>
      <w:pPr>
        <w:ind w:left="3648" w:hanging="374"/>
      </w:pPr>
      <w:rPr>
        <w:rFonts w:hint="default"/>
        <w:lang w:val="es-ES" w:eastAsia="en-US" w:bidi="ar-SA"/>
      </w:rPr>
    </w:lvl>
    <w:lvl w:ilvl="4" w:tplc="A9EAFFA6">
      <w:numFmt w:val="bullet"/>
      <w:lvlText w:val="•"/>
      <w:lvlJc w:val="left"/>
      <w:pPr>
        <w:ind w:left="4604" w:hanging="374"/>
      </w:pPr>
      <w:rPr>
        <w:rFonts w:hint="default"/>
        <w:lang w:val="es-ES" w:eastAsia="en-US" w:bidi="ar-SA"/>
      </w:rPr>
    </w:lvl>
    <w:lvl w:ilvl="5" w:tplc="2106334A">
      <w:numFmt w:val="bullet"/>
      <w:lvlText w:val="•"/>
      <w:lvlJc w:val="left"/>
      <w:pPr>
        <w:ind w:left="5560" w:hanging="374"/>
      </w:pPr>
      <w:rPr>
        <w:rFonts w:hint="default"/>
        <w:lang w:val="es-ES" w:eastAsia="en-US" w:bidi="ar-SA"/>
      </w:rPr>
    </w:lvl>
    <w:lvl w:ilvl="6" w:tplc="F2D4718C">
      <w:numFmt w:val="bullet"/>
      <w:lvlText w:val="•"/>
      <w:lvlJc w:val="left"/>
      <w:pPr>
        <w:ind w:left="6516" w:hanging="374"/>
      </w:pPr>
      <w:rPr>
        <w:rFonts w:hint="default"/>
        <w:lang w:val="es-ES" w:eastAsia="en-US" w:bidi="ar-SA"/>
      </w:rPr>
    </w:lvl>
    <w:lvl w:ilvl="7" w:tplc="6BEE244E">
      <w:numFmt w:val="bullet"/>
      <w:lvlText w:val="•"/>
      <w:lvlJc w:val="left"/>
      <w:pPr>
        <w:ind w:left="7472" w:hanging="374"/>
      </w:pPr>
      <w:rPr>
        <w:rFonts w:hint="default"/>
        <w:lang w:val="es-ES" w:eastAsia="en-US" w:bidi="ar-SA"/>
      </w:rPr>
    </w:lvl>
    <w:lvl w:ilvl="8" w:tplc="27B6CE52">
      <w:numFmt w:val="bullet"/>
      <w:lvlText w:val="•"/>
      <w:lvlJc w:val="left"/>
      <w:pPr>
        <w:ind w:left="8428" w:hanging="374"/>
      </w:pPr>
      <w:rPr>
        <w:rFonts w:hint="default"/>
        <w:lang w:val="es-ES" w:eastAsia="en-US" w:bidi="ar-SA"/>
      </w:rPr>
    </w:lvl>
  </w:abstractNum>
  <w:abstractNum w:abstractNumId="2">
    <w:nsid w:val="5E5B0D16"/>
    <w:multiLevelType w:val="hybridMultilevel"/>
    <w:tmpl w:val="623649DC"/>
    <w:lvl w:ilvl="0" w:tplc="D9F41B02">
      <w:numFmt w:val="bullet"/>
      <w:lvlText w:val=""/>
      <w:lvlJc w:val="left"/>
      <w:pPr>
        <w:ind w:left="1502" w:hanging="360"/>
      </w:pPr>
      <w:rPr>
        <w:rFonts w:ascii="Symbol" w:eastAsia="Symbol" w:hAnsi="Symbol" w:cs="Symbol" w:hint="default"/>
        <w:w w:val="100"/>
        <w:sz w:val="24"/>
        <w:szCs w:val="24"/>
        <w:lang w:val="es-ES" w:eastAsia="en-US" w:bidi="ar-SA"/>
      </w:rPr>
    </w:lvl>
    <w:lvl w:ilvl="1" w:tplc="5AACDAC0">
      <w:numFmt w:val="bullet"/>
      <w:lvlText w:val="•"/>
      <w:lvlJc w:val="left"/>
      <w:pPr>
        <w:ind w:left="2384" w:hanging="360"/>
      </w:pPr>
      <w:rPr>
        <w:rFonts w:hint="default"/>
        <w:lang w:val="es-ES" w:eastAsia="en-US" w:bidi="ar-SA"/>
      </w:rPr>
    </w:lvl>
    <w:lvl w:ilvl="2" w:tplc="91029F80">
      <w:numFmt w:val="bullet"/>
      <w:lvlText w:val="•"/>
      <w:lvlJc w:val="left"/>
      <w:pPr>
        <w:ind w:left="3268" w:hanging="360"/>
      </w:pPr>
      <w:rPr>
        <w:rFonts w:hint="default"/>
        <w:lang w:val="es-ES" w:eastAsia="en-US" w:bidi="ar-SA"/>
      </w:rPr>
    </w:lvl>
    <w:lvl w:ilvl="3" w:tplc="75BAF4E4">
      <w:numFmt w:val="bullet"/>
      <w:lvlText w:val="•"/>
      <w:lvlJc w:val="left"/>
      <w:pPr>
        <w:ind w:left="4152" w:hanging="360"/>
      </w:pPr>
      <w:rPr>
        <w:rFonts w:hint="default"/>
        <w:lang w:val="es-ES" w:eastAsia="en-US" w:bidi="ar-SA"/>
      </w:rPr>
    </w:lvl>
    <w:lvl w:ilvl="4" w:tplc="97D8D3A2">
      <w:numFmt w:val="bullet"/>
      <w:lvlText w:val="•"/>
      <w:lvlJc w:val="left"/>
      <w:pPr>
        <w:ind w:left="5036" w:hanging="360"/>
      </w:pPr>
      <w:rPr>
        <w:rFonts w:hint="default"/>
        <w:lang w:val="es-ES" w:eastAsia="en-US" w:bidi="ar-SA"/>
      </w:rPr>
    </w:lvl>
    <w:lvl w:ilvl="5" w:tplc="7BD4FD94">
      <w:numFmt w:val="bullet"/>
      <w:lvlText w:val="•"/>
      <w:lvlJc w:val="left"/>
      <w:pPr>
        <w:ind w:left="5920" w:hanging="360"/>
      </w:pPr>
      <w:rPr>
        <w:rFonts w:hint="default"/>
        <w:lang w:val="es-ES" w:eastAsia="en-US" w:bidi="ar-SA"/>
      </w:rPr>
    </w:lvl>
    <w:lvl w:ilvl="6" w:tplc="B59480DE">
      <w:numFmt w:val="bullet"/>
      <w:lvlText w:val="•"/>
      <w:lvlJc w:val="left"/>
      <w:pPr>
        <w:ind w:left="6804" w:hanging="360"/>
      </w:pPr>
      <w:rPr>
        <w:rFonts w:hint="default"/>
        <w:lang w:val="es-ES" w:eastAsia="en-US" w:bidi="ar-SA"/>
      </w:rPr>
    </w:lvl>
    <w:lvl w:ilvl="7" w:tplc="66601024">
      <w:numFmt w:val="bullet"/>
      <w:lvlText w:val="•"/>
      <w:lvlJc w:val="left"/>
      <w:pPr>
        <w:ind w:left="7688" w:hanging="360"/>
      </w:pPr>
      <w:rPr>
        <w:rFonts w:hint="default"/>
        <w:lang w:val="es-ES" w:eastAsia="en-US" w:bidi="ar-SA"/>
      </w:rPr>
    </w:lvl>
    <w:lvl w:ilvl="8" w:tplc="BC8A9C5E">
      <w:numFmt w:val="bullet"/>
      <w:lvlText w:val="•"/>
      <w:lvlJc w:val="left"/>
      <w:pPr>
        <w:ind w:left="8572" w:hanging="360"/>
      </w:pPr>
      <w:rPr>
        <w:rFonts w:hint="default"/>
        <w:lang w:val="es-ES" w:eastAsia="en-US" w:bidi="ar-SA"/>
      </w:rPr>
    </w:lvl>
  </w:abstractNum>
  <w:abstractNum w:abstractNumId="3">
    <w:nsid w:val="71506CFE"/>
    <w:multiLevelType w:val="hybridMultilevel"/>
    <w:tmpl w:val="6958C676"/>
    <w:lvl w:ilvl="0" w:tplc="32DA369A">
      <w:start w:val="1"/>
      <w:numFmt w:val="lowerLetter"/>
      <w:lvlText w:val="%1)"/>
      <w:lvlJc w:val="left"/>
      <w:pPr>
        <w:ind w:left="780" w:hanging="360"/>
      </w:pPr>
      <w:rPr>
        <w:rFonts w:ascii="Arial" w:eastAsia="Times New Roman" w:hAnsi="Arial" w:cs="Arial"/>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72230750"/>
    <w:multiLevelType w:val="hybridMultilevel"/>
    <w:tmpl w:val="42D09DBE"/>
    <w:lvl w:ilvl="0" w:tplc="3EA23C9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75AD4AD4"/>
    <w:multiLevelType w:val="hybridMultilevel"/>
    <w:tmpl w:val="F0B4BB48"/>
    <w:lvl w:ilvl="0" w:tplc="339E8F72">
      <w:numFmt w:val="bullet"/>
      <w:lvlText w:val="•"/>
      <w:lvlJc w:val="left"/>
      <w:pPr>
        <w:ind w:left="1490" w:hanging="708"/>
      </w:pPr>
      <w:rPr>
        <w:rFonts w:ascii="Arial MT" w:eastAsia="Arial MT" w:hAnsi="Arial MT" w:cs="Arial MT" w:hint="default"/>
        <w:w w:val="100"/>
        <w:sz w:val="24"/>
        <w:szCs w:val="24"/>
        <w:lang w:val="es-ES" w:eastAsia="en-US" w:bidi="ar-SA"/>
      </w:rPr>
    </w:lvl>
    <w:lvl w:ilvl="1" w:tplc="A3FC6824">
      <w:numFmt w:val="bullet"/>
      <w:lvlText w:val=""/>
      <w:lvlJc w:val="left"/>
      <w:pPr>
        <w:ind w:left="1502" w:hanging="360"/>
      </w:pPr>
      <w:rPr>
        <w:rFonts w:ascii="Wingdings" w:eastAsia="Wingdings" w:hAnsi="Wingdings" w:cs="Wingdings" w:hint="default"/>
        <w:w w:val="100"/>
        <w:sz w:val="24"/>
        <w:szCs w:val="24"/>
        <w:lang w:val="es-ES" w:eastAsia="en-US" w:bidi="ar-SA"/>
      </w:rPr>
    </w:lvl>
    <w:lvl w:ilvl="2" w:tplc="A740AEF4">
      <w:numFmt w:val="bullet"/>
      <w:lvlText w:val="•"/>
      <w:lvlJc w:val="left"/>
      <w:pPr>
        <w:ind w:left="3268" w:hanging="360"/>
      </w:pPr>
      <w:rPr>
        <w:rFonts w:hint="default"/>
        <w:lang w:val="es-ES" w:eastAsia="en-US" w:bidi="ar-SA"/>
      </w:rPr>
    </w:lvl>
    <w:lvl w:ilvl="3" w:tplc="5F8010A4">
      <w:numFmt w:val="bullet"/>
      <w:lvlText w:val="•"/>
      <w:lvlJc w:val="left"/>
      <w:pPr>
        <w:ind w:left="4152" w:hanging="360"/>
      </w:pPr>
      <w:rPr>
        <w:rFonts w:hint="default"/>
        <w:lang w:val="es-ES" w:eastAsia="en-US" w:bidi="ar-SA"/>
      </w:rPr>
    </w:lvl>
    <w:lvl w:ilvl="4" w:tplc="CA38821E">
      <w:numFmt w:val="bullet"/>
      <w:lvlText w:val="•"/>
      <w:lvlJc w:val="left"/>
      <w:pPr>
        <w:ind w:left="5036" w:hanging="360"/>
      </w:pPr>
      <w:rPr>
        <w:rFonts w:hint="default"/>
        <w:lang w:val="es-ES" w:eastAsia="en-US" w:bidi="ar-SA"/>
      </w:rPr>
    </w:lvl>
    <w:lvl w:ilvl="5" w:tplc="3B7A2602">
      <w:numFmt w:val="bullet"/>
      <w:lvlText w:val="•"/>
      <w:lvlJc w:val="left"/>
      <w:pPr>
        <w:ind w:left="5920" w:hanging="360"/>
      </w:pPr>
      <w:rPr>
        <w:rFonts w:hint="default"/>
        <w:lang w:val="es-ES" w:eastAsia="en-US" w:bidi="ar-SA"/>
      </w:rPr>
    </w:lvl>
    <w:lvl w:ilvl="6" w:tplc="698226C4">
      <w:numFmt w:val="bullet"/>
      <w:lvlText w:val="•"/>
      <w:lvlJc w:val="left"/>
      <w:pPr>
        <w:ind w:left="6804" w:hanging="360"/>
      </w:pPr>
      <w:rPr>
        <w:rFonts w:hint="default"/>
        <w:lang w:val="es-ES" w:eastAsia="en-US" w:bidi="ar-SA"/>
      </w:rPr>
    </w:lvl>
    <w:lvl w:ilvl="7" w:tplc="A7201566">
      <w:numFmt w:val="bullet"/>
      <w:lvlText w:val="•"/>
      <w:lvlJc w:val="left"/>
      <w:pPr>
        <w:ind w:left="7688" w:hanging="360"/>
      </w:pPr>
      <w:rPr>
        <w:rFonts w:hint="default"/>
        <w:lang w:val="es-ES" w:eastAsia="en-US" w:bidi="ar-SA"/>
      </w:rPr>
    </w:lvl>
    <w:lvl w:ilvl="8" w:tplc="2B1E6F4E">
      <w:numFmt w:val="bullet"/>
      <w:lvlText w:val="•"/>
      <w:lvlJc w:val="left"/>
      <w:pPr>
        <w:ind w:left="8572" w:hanging="360"/>
      </w:pPr>
      <w:rPr>
        <w:rFonts w:hint="default"/>
        <w:lang w:val="es-ES" w:eastAsia="en-US" w:bidi="ar-SA"/>
      </w:rPr>
    </w:lvl>
  </w:abstractNum>
  <w:abstractNum w:abstractNumId="6">
    <w:nsid w:val="7987053C"/>
    <w:multiLevelType w:val="hybridMultilevel"/>
    <w:tmpl w:val="DEE46F7E"/>
    <w:lvl w:ilvl="0" w:tplc="247047EE">
      <w:start w:val="1"/>
      <w:numFmt w:val="upp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FC"/>
    <w:rsid w:val="00006D0C"/>
    <w:rsid w:val="000473F1"/>
    <w:rsid w:val="00052B74"/>
    <w:rsid w:val="00060B63"/>
    <w:rsid w:val="00086D42"/>
    <w:rsid w:val="00091DFE"/>
    <w:rsid w:val="000D3C8D"/>
    <w:rsid w:val="00133002"/>
    <w:rsid w:val="001F51E0"/>
    <w:rsid w:val="002063DD"/>
    <w:rsid w:val="00256D3E"/>
    <w:rsid w:val="002C4A32"/>
    <w:rsid w:val="002E406A"/>
    <w:rsid w:val="003065A0"/>
    <w:rsid w:val="00334BFC"/>
    <w:rsid w:val="00363EE1"/>
    <w:rsid w:val="003B1BB5"/>
    <w:rsid w:val="003C1F9F"/>
    <w:rsid w:val="003C5D7B"/>
    <w:rsid w:val="003D12D7"/>
    <w:rsid w:val="003D2796"/>
    <w:rsid w:val="00403DEC"/>
    <w:rsid w:val="00417DB3"/>
    <w:rsid w:val="004F0FD5"/>
    <w:rsid w:val="00544DF5"/>
    <w:rsid w:val="0054753E"/>
    <w:rsid w:val="0057765A"/>
    <w:rsid w:val="005E269C"/>
    <w:rsid w:val="006141F0"/>
    <w:rsid w:val="006D1EBE"/>
    <w:rsid w:val="00700EED"/>
    <w:rsid w:val="007060A4"/>
    <w:rsid w:val="00715B45"/>
    <w:rsid w:val="007219B5"/>
    <w:rsid w:val="007474A7"/>
    <w:rsid w:val="007B4713"/>
    <w:rsid w:val="007C4845"/>
    <w:rsid w:val="00801677"/>
    <w:rsid w:val="0083683C"/>
    <w:rsid w:val="009123FC"/>
    <w:rsid w:val="00935E4F"/>
    <w:rsid w:val="00942579"/>
    <w:rsid w:val="00951790"/>
    <w:rsid w:val="00971F1A"/>
    <w:rsid w:val="009A450F"/>
    <w:rsid w:val="009E5D7D"/>
    <w:rsid w:val="00A518C4"/>
    <w:rsid w:val="00A6544A"/>
    <w:rsid w:val="00A65B9B"/>
    <w:rsid w:val="00AA6D7C"/>
    <w:rsid w:val="00AE78A6"/>
    <w:rsid w:val="00B41D20"/>
    <w:rsid w:val="00B82959"/>
    <w:rsid w:val="00B904FF"/>
    <w:rsid w:val="00B94B58"/>
    <w:rsid w:val="00CC3776"/>
    <w:rsid w:val="00CC6DA5"/>
    <w:rsid w:val="00CE231D"/>
    <w:rsid w:val="00CF26D3"/>
    <w:rsid w:val="00D34A59"/>
    <w:rsid w:val="00D819D3"/>
    <w:rsid w:val="00E224A4"/>
    <w:rsid w:val="00E43406"/>
    <w:rsid w:val="00E92900"/>
    <w:rsid w:val="00E9636D"/>
    <w:rsid w:val="00EB262F"/>
    <w:rsid w:val="00F74F5B"/>
    <w:rsid w:val="00F83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873-8C80-4A53-9863-8E829CC4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93"/>
      <w:ind w:left="1365" w:right="851" w:hanging="452"/>
    </w:pPr>
    <w:rPr>
      <w:rFonts w:ascii="Arial" w:eastAsia="Arial" w:hAnsi="Arial" w:cs="Arial"/>
      <w:b/>
      <w:bCs/>
      <w:sz w:val="24"/>
      <w:szCs w:val="24"/>
    </w:rPr>
  </w:style>
  <w:style w:type="paragraph" w:styleId="Prrafodelista">
    <w:name w:val="List Paragraph"/>
    <w:basedOn w:val="Normal"/>
    <w:uiPriority w:val="1"/>
    <w:qFormat/>
    <w:pPr>
      <w:ind w:left="150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A450F"/>
    <w:pPr>
      <w:tabs>
        <w:tab w:val="center" w:pos="4419"/>
        <w:tab w:val="right" w:pos="8838"/>
      </w:tabs>
    </w:pPr>
  </w:style>
  <w:style w:type="character" w:customStyle="1" w:styleId="EncabezadoCar">
    <w:name w:val="Encabezado Car"/>
    <w:basedOn w:val="Fuentedeprrafopredeter"/>
    <w:link w:val="Encabezado"/>
    <w:uiPriority w:val="99"/>
    <w:rsid w:val="009A450F"/>
    <w:rPr>
      <w:rFonts w:ascii="Arial MT" w:eastAsia="Arial MT" w:hAnsi="Arial MT" w:cs="Arial MT"/>
      <w:lang w:val="es-ES"/>
    </w:rPr>
  </w:style>
  <w:style w:type="paragraph" w:styleId="Piedepgina">
    <w:name w:val="footer"/>
    <w:basedOn w:val="Normal"/>
    <w:link w:val="PiedepginaCar"/>
    <w:uiPriority w:val="99"/>
    <w:unhideWhenUsed/>
    <w:rsid w:val="009A450F"/>
    <w:pPr>
      <w:tabs>
        <w:tab w:val="center" w:pos="4419"/>
        <w:tab w:val="right" w:pos="8838"/>
      </w:tabs>
    </w:pPr>
  </w:style>
  <w:style w:type="character" w:customStyle="1" w:styleId="PiedepginaCar">
    <w:name w:val="Pie de página Car"/>
    <w:basedOn w:val="Fuentedeprrafopredeter"/>
    <w:link w:val="Piedepgina"/>
    <w:uiPriority w:val="99"/>
    <w:rsid w:val="009A450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31</cp:revision>
  <dcterms:created xsi:type="dcterms:W3CDTF">2024-06-06T18:57:00Z</dcterms:created>
  <dcterms:modified xsi:type="dcterms:W3CDTF">2024-06-10T22:21:00Z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Word 2013</vt:lpwstr>
  </property>
  <property fmtid="{D5CDD505-2E9C-101B-9397-08002B2CF9AE}" pid="4" name="LastSaved">
    <vt:filetime>2024-06-05T00:00:00Z</vt:filetime>
  </property>
</Properties>
</file>